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05" w:rsidRDefault="00350505" w:rsidP="00AA11E8">
      <w:pPr>
        <w:spacing w:line="276" w:lineRule="auto"/>
        <w:jc w:val="center"/>
        <w:rPr>
          <w:rFonts w:ascii="Arial Narrow" w:eastAsia="Century Gothic" w:hAnsi="Arial Narrow" w:cs="Century Gothic"/>
          <w:b/>
          <w:sz w:val="28"/>
          <w:szCs w:val="28"/>
        </w:rPr>
      </w:pPr>
    </w:p>
    <w:p w:rsidR="00AA11E8" w:rsidRDefault="00711980" w:rsidP="00AA11E8">
      <w:pPr>
        <w:spacing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AA11E8">
        <w:rPr>
          <w:rFonts w:ascii="Arial Narrow" w:eastAsia="Century Gothic" w:hAnsi="Arial Narrow" w:cs="Century Gothic"/>
          <w:b/>
          <w:sz w:val="28"/>
          <w:szCs w:val="28"/>
        </w:rPr>
        <w:t>TEXTO APROBADO EN PRIMER DEBATE,  EN LA COMISIÓN PRIMERA D</w:t>
      </w:r>
      <w:r w:rsidR="00B0271C" w:rsidRPr="00AA11E8">
        <w:rPr>
          <w:rFonts w:ascii="Arial Narrow" w:eastAsia="Century Gothic" w:hAnsi="Arial Narrow" w:cs="Century Gothic"/>
          <w:b/>
          <w:sz w:val="28"/>
          <w:szCs w:val="28"/>
        </w:rPr>
        <w:t>E LA CÁMARA DE REPRESENTANTES A</w:t>
      </w:r>
      <w:r w:rsidRPr="00AA11E8">
        <w:rPr>
          <w:rFonts w:ascii="Arial Narrow" w:eastAsia="Century Gothic" w:hAnsi="Arial Narrow" w:cs="Century Gothic"/>
          <w:b/>
          <w:sz w:val="28"/>
          <w:szCs w:val="28"/>
        </w:rPr>
        <w:t xml:space="preserve">L PROYECTO DE </w:t>
      </w:r>
      <w:r w:rsidR="008455FF" w:rsidRPr="00AA11E8">
        <w:rPr>
          <w:rFonts w:ascii="Arial Narrow" w:hAnsi="Arial Narrow"/>
          <w:b/>
          <w:sz w:val="28"/>
          <w:szCs w:val="28"/>
        </w:rPr>
        <w:t xml:space="preserve"> LEY No</w:t>
      </w:r>
      <w:r w:rsidRPr="00AA11E8">
        <w:rPr>
          <w:rFonts w:ascii="Arial Narrow" w:hAnsi="Arial Narrow"/>
          <w:b/>
          <w:sz w:val="28"/>
          <w:szCs w:val="28"/>
        </w:rPr>
        <w:t>.</w:t>
      </w:r>
      <w:r w:rsidR="001E0CB5" w:rsidRPr="00AA11E8">
        <w:rPr>
          <w:rFonts w:ascii="Arial Narrow" w:hAnsi="Arial Narrow"/>
          <w:b/>
          <w:sz w:val="28"/>
          <w:szCs w:val="28"/>
        </w:rPr>
        <w:t xml:space="preserve"> </w:t>
      </w:r>
      <w:r w:rsidR="00E74856" w:rsidRPr="00AA11E8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017 DE 2021 CÁMARA </w:t>
      </w:r>
    </w:p>
    <w:p w:rsidR="00E74856" w:rsidRPr="00AA11E8" w:rsidRDefault="00E74856" w:rsidP="00AA11E8">
      <w:pPr>
        <w:spacing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AA11E8"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  <w:t>“POR MEDIO DEL CUAL SE ESTABLECEN MEDIDAS QUE PROTEJAN EL DERECHO A LA INTIMIDAD DE LOS CONSUMIDORES FINANCIEROS”</w:t>
      </w:r>
    </w:p>
    <w:p w:rsidR="00E74856" w:rsidRPr="00AA11E8" w:rsidRDefault="00E74856" w:rsidP="00E74856">
      <w:pPr>
        <w:adjustRightInd w:val="0"/>
        <w:spacing w:after="57" w:line="276" w:lineRule="auto"/>
        <w:contextualSpacing/>
        <w:jc w:val="center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</w:pPr>
    </w:p>
    <w:p w:rsidR="00E74856" w:rsidRPr="00AA11E8" w:rsidRDefault="00E74856" w:rsidP="00E74856">
      <w:pPr>
        <w:adjustRightInd w:val="0"/>
        <w:spacing w:after="57" w:line="276" w:lineRule="auto"/>
        <w:contextualSpacing/>
        <w:jc w:val="center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</w:pPr>
    </w:p>
    <w:p w:rsidR="00E74856" w:rsidRPr="00AA11E8" w:rsidRDefault="00E74856" w:rsidP="00E74856">
      <w:pPr>
        <w:adjustRightInd w:val="0"/>
        <w:spacing w:after="57" w:line="276" w:lineRule="auto"/>
        <w:contextualSpacing/>
        <w:jc w:val="center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</w:pPr>
      <w:r w:rsidRPr="00AA11E8"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  <w:t>EL CONGRESO DE COLOMBIA</w:t>
      </w:r>
    </w:p>
    <w:p w:rsidR="00AA11E8" w:rsidRPr="00AA11E8" w:rsidRDefault="00AA11E8" w:rsidP="00E74856">
      <w:pPr>
        <w:adjustRightInd w:val="0"/>
        <w:spacing w:after="57" w:line="276" w:lineRule="auto"/>
        <w:contextualSpacing/>
        <w:jc w:val="center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adjustRightInd w:val="0"/>
        <w:spacing w:after="57" w:line="276" w:lineRule="auto"/>
        <w:contextualSpacing/>
        <w:jc w:val="center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AA11E8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DECRETA</w:t>
      </w:r>
      <w:r w:rsidR="00AA11E8" w:rsidRPr="00AA11E8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:</w:t>
      </w:r>
    </w:p>
    <w:p w:rsidR="00E74856" w:rsidRPr="00AA11E8" w:rsidRDefault="00E74856" w:rsidP="00E74856">
      <w:pPr>
        <w:adjustRightInd w:val="0"/>
        <w:spacing w:after="57" w:line="276" w:lineRule="auto"/>
        <w:contextualSpacing/>
        <w:jc w:val="both"/>
        <w:textAlignment w:val="center"/>
        <w:rPr>
          <w:rFonts w:ascii="Arial Narrow" w:hAnsi="Arial Narrow" w:cs="Arial"/>
          <w:b/>
          <w:bCs/>
          <w:color w:val="000000" w:themeColor="text1"/>
          <w:sz w:val="28"/>
          <w:szCs w:val="28"/>
          <w:lang w:val="es-ES_tradnl"/>
        </w:rPr>
      </w:pPr>
    </w:p>
    <w:p w:rsidR="00E74856" w:rsidRPr="00AA11E8" w:rsidRDefault="00E74856" w:rsidP="00E74856">
      <w:pPr>
        <w:jc w:val="both"/>
        <w:rPr>
          <w:rFonts w:ascii="Arial Narrow" w:eastAsia="Arial" w:hAnsi="Arial Narrow" w:cs="Arial"/>
          <w:color w:val="000000" w:themeColor="text1"/>
          <w:sz w:val="28"/>
          <w:szCs w:val="28"/>
          <w:lang w:val="es-ES_tradnl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 xml:space="preserve">Artículo 1. Objeto. 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>La presente ley tiene por objeto proteger el derecho a la intimidad de los consumidores financieros, durante las horas inhábiles, los fines de semana y días festivos, restringiendo los contactos a través de mensajes de texto, mensajes de datos, llamadas telefónicas, correos electrónicos y similares, provenientes de las entidades vigiladas por la Superintendencia Financiera.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2.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Las entidades vigiladas usarán para los contactos exclusivamente el canal suministrado al efecto por el consumidor financiero.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3.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En ningún caso, el consumidor financiero será contactado por más de dos canales durante una misma semana.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 xml:space="preserve">Artículo 4. 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En ningún caso, el consumidor financiero será contactado en más de una ocasión durante el mismo día.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5.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En ningún caso, las entidades vigiladas por la Superintendencia financiera podrán contactar a las referencias, avalista, codeudor y deudor solidario hasta pasados 30 días hábiles desde entrada de la obligación en mora, y el contacto se hará en las mismas condiciones que establece la presente ley.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6.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Las entidades vigiladas por la Superintendencia financiera deberán contactar al consumidor financiero únicamente los días hábiles, de lunes a viernes, de 8 am a 6 pm.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 xml:space="preserve">Artículo 7. 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>Las entidades vigiladas por la Superintendencia financiera deberán abstenerse, salvo autorización escrita, de hacer visitas al domicilio o al lugar de trabajo del consumidor financiero.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8.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 xml:space="preserve"> Las entidades vigiladas por la Superintendencia financiera deberán abstenerse de consultar al consumidor financiero el motivo del incumplimiento de la obligación.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Artículo 9. 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>Se exceptúan de las medidas anteriores los contactos que tengan como finalidad generar alertas sobre transacciones fraudulentas, inusuales o sospechosas.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Artículo 10. 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>El incumplimiento de las medidas de protección de que trata la presente ley, se considerará práctica abusiva en los términos del artículo 12 de la Ley 1328 de 2009, y se sancionará conforme al Capítulo VIII del Título I de la misma y sus normas complementarias.</w:t>
      </w:r>
    </w:p>
    <w:p w:rsidR="00AA11E8" w:rsidRPr="00AA11E8" w:rsidRDefault="00AA11E8" w:rsidP="00E74856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74856" w:rsidRPr="00AA11E8" w:rsidRDefault="00E74856" w:rsidP="00E7485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A11E8">
        <w:rPr>
          <w:rFonts w:ascii="Arial Narrow" w:hAnsi="Arial Narrow"/>
          <w:b/>
          <w:color w:val="000000" w:themeColor="text1"/>
          <w:sz w:val="28"/>
          <w:szCs w:val="28"/>
        </w:rPr>
        <w:t>Artículo 11. Vigencia</w:t>
      </w:r>
      <w:r w:rsidRPr="00AA11E8">
        <w:rPr>
          <w:rFonts w:ascii="Arial Narrow" w:hAnsi="Arial Narrow"/>
          <w:color w:val="000000" w:themeColor="text1"/>
          <w:sz w:val="28"/>
          <w:szCs w:val="28"/>
        </w:rPr>
        <w:t>.  La presente Ley rige a partir de su promulgación y deroga las disposiciones que le sean contrarias.</w:t>
      </w:r>
    </w:p>
    <w:p w:rsidR="00E74856" w:rsidRPr="00AA11E8" w:rsidRDefault="00E74856" w:rsidP="00E74856">
      <w:pPr>
        <w:spacing w:after="200"/>
        <w:jc w:val="both"/>
        <w:rPr>
          <w:rFonts w:ascii="Arial Narrow" w:eastAsia="Arial" w:hAnsi="Arial Narrow" w:cs="Arial"/>
          <w:color w:val="000000" w:themeColor="text1"/>
          <w:sz w:val="28"/>
          <w:szCs w:val="28"/>
        </w:rPr>
      </w:pPr>
    </w:p>
    <w:p w:rsidR="00E74856" w:rsidRPr="00AA11E8" w:rsidRDefault="00E74856" w:rsidP="001E0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 Narrow" w:eastAsia="Century Gothic" w:hAnsi="Arial Narrow" w:cs="Century Gothic"/>
          <w:b/>
          <w:color w:val="000000"/>
          <w:sz w:val="28"/>
          <w:szCs w:val="28"/>
        </w:rPr>
      </w:pPr>
    </w:p>
    <w:p w:rsidR="008D0B2B" w:rsidRPr="00AA11E8" w:rsidRDefault="008D0B2B">
      <w:pPr>
        <w:spacing w:after="240" w:line="276" w:lineRule="auto"/>
        <w:jc w:val="both"/>
        <w:rPr>
          <w:rFonts w:ascii="Arial Narrow" w:eastAsia="Century Gothic" w:hAnsi="Arial Narrow" w:cs="Century Gothic"/>
          <w:color w:val="000000"/>
          <w:sz w:val="28"/>
          <w:szCs w:val="28"/>
        </w:rPr>
      </w:pPr>
      <w:bookmarkStart w:id="0" w:name="_GoBack"/>
      <w:bookmarkEnd w:id="0"/>
    </w:p>
    <w:p w:rsidR="00D8621E" w:rsidRPr="00AA11E8" w:rsidRDefault="00127274" w:rsidP="00AA11E8">
      <w:pPr>
        <w:spacing w:after="160" w:line="259" w:lineRule="auto"/>
        <w:jc w:val="both"/>
        <w:rPr>
          <w:rFonts w:ascii="Arial Narrow" w:hAnsi="Arial Narrow" w:cs="Arial"/>
          <w:sz w:val="28"/>
          <w:szCs w:val="28"/>
        </w:rPr>
      </w:pPr>
      <w:r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En los anteriores términos fue aprobado 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si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n modificaciones el presente P</w:t>
      </w:r>
      <w:r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royecto d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e Ley según consta en A</w:t>
      </w:r>
      <w:r w:rsidR="006625C1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cta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s</w:t>
      </w:r>
      <w:r w:rsidR="006625C1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</w:t>
      </w:r>
      <w:r w:rsidR="003A3963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No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s</w:t>
      </w:r>
      <w:r w:rsidR="003A3963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. 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27 y </w:t>
      </w:r>
      <w:r w:rsidR="003A3963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2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8</w:t>
      </w:r>
      <w:r w:rsidR="00283BAE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de Sesio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n</w:t>
      </w:r>
      <w:r w:rsidR="00283BAE">
        <w:rPr>
          <w:rFonts w:ascii="Arial Narrow" w:eastAsia="Century Gothic" w:hAnsi="Arial Narrow" w:cs="Century Gothic"/>
          <w:sz w:val="28"/>
          <w:szCs w:val="28"/>
          <w:highlight w:val="white"/>
        </w:rPr>
        <w:t>es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Presencial</w:t>
      </w:r>
      <w:r w:rsidR="00283BAE">
        <w:rPr>
          <w:rFonts w:ascii="Arial Narrow" w:eastAsia="Century Gothic" w:hAnsi="Arial Narrow" w:cs="Century Gothic"/>
          <w:sz w:val="28"/>
          <w:szCs w:val="28"/>
          <w:highlight w:val="white"/>
        </w:rPr>
        <w:t>es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</w:t>
      </w:r>
      <w:r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de 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noviembre 03 y noviembre 09</w:t>
      </w:r>
      <w:r w:rsidR="003A3963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de 2021</w:t>
      </w:r>
      <w:r w:rsidR="00AA11E8">
        <w:rPr>
          <w:rFonts w:ascii="Arial Narrow" w:eastAsia="Century Gothic" w:hAnsi="Arial Narrow" w:cs="Century Gothic"/>
          <w:sz w:val="28"/>
          <w:szCs w:val="28"/>
          <w:highlight w:val="white"/>
        </w:rPr>
        <w:t>, respectivamente</w:t>
      </w:r>
      <w:r w:rsidR="008455FF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. A</w:t>
      </w:r>
      <w:r w:rsidR="00AA11E8">
        <w:rPr>
          <w:rFonts w:ascii="Arial Narrow" w:eastAsia="Century Gothic" w:hAnsi="Arial Narrow" w:cs="Century Gothic"/>
          <w:color w:val="000000" w:themeColor="text1"/>
          <w:sz w:val="28"/>
          <w:szCs w:val="28"/>
          <w:highlight w:val="white"/>
        </w:rPr>
        <w:t xml:space="preserve">sí mismo fue anunciado los </w:t>
      </w:r>
      <w:r w:rsidRPr="00AA11E8">
        <w:rPr>
          <w:rFonts w:ascii="Arial Narrow" w:eastAsia="Century Gothic" w:hAnsi="Arial Narrow" w:cs="Century Gothic"/>
          <w:color w:val="000000" w:themeColor="text1"/>
          <w:sz w:val="28"/>
          <w:szCs w:val="28"/>
          <w:highlight w:val="white"/>
        </w:rPr>
        <w:t>día</w:t>
      </w:r>
      <w:r w:rsidR="00AA11E8">
        <w:rPr>
          <w:rFonts w:ascii="Arial Narrow" w:eastAsia="Century Gothic" w:hAnsi="Arial Narrow" w:cs="Century Gothic"/>
          <w:color w:val="000000" w:themeColor="text1"/>
          <w:sz w:val="28"/>
          <w:szCs w:val="28"/>
          <w:highlight w:val="white"/>
        </w:rPr>
        <w:t>s</w:t>
      </w:r>
      <w:r w:rsidRPr="00AA11E8">
        <w:rPr>
          <w:rFonts w:ascii="Arial Narrow" w:eastAsia="Century Gothic" w:hAnsi="Arial Narrow" w:cs="Century Gothic"/>
          <w:color w:val="000000" w:themeColor="text1"/>
          <w:sz w:val="28"/>
          <w:szCs w:val="28"/>
          <w:highlight w:val="white"/>
        </w:rPr>
        <w:t xml:space="preserve"> </w:t>
      </w:r>
      <w:r w:rsidR="00AA11E8">
        <w:rPr>
          <w:rFonts w:ascii="Arial Narrow" w:eastAsia="Century Gothic" w:hAnsi="Arial Narrow" w:cs="Century Gothic"/>
          <w:color w:val="000000" w:themeColor="text1"/>
          <w:sz w:val="28"/>
          <w:szCs w:val="28"/>
          <w:highlight w:val="white"/>
        </w:rPr>
        <w:t>28 de octubre de 2021 según Acta No. 02 Conjuntas Mixta y Acta No. 27 Sesión presencial de noviembre 02 de 2021.</w:t>
      </w:r>
      <w:r w:rsidR="00AA11E8" w:rsidRPr="00AA11E8">
        <w:rPr>
          <w:rFonts w:ascii="Arial Narrow" w:hAnsi="Arial Narrow" w:cs="Arial"/>
          <w:sz w:val="28"/>
          <w:szCs w:val="28"/>
        </w:rPr>
        <w:t xml:space="preserve"> </w:t>
      </w:r>
    </w:p>
    <w:p w:rsidR="00D8621E" w:rsidRPr="00AA11E8" w:rsidRDefault="00D8621E" w:rsidP="006625C1">
      <w:pPr>
        <w:pStyle w:val="Textoindependiente"/>
        <w:rPr>
          <w:rFonts w:ascii="Arial Narrow" w:hAnsi="Arial Narrow" w:cs="Arial"/>
          <w:sz w:val="28"/>
          <w:szCs w:val="28"/>
        </w:rPr>
      </w:pPr>
    </w:p>
    <w:p w:rsidR="00D8621E" w:rsidRPr="00AA11E8" w:rsidRDefault="00D8621E" w:rsidP="006625C1">
      <w:pPr>
        <w:pStyle w:val="Textoindependiente"/>
        <w:rPr>
          <w:rFonts w:ascii="Arial Narrow" w:hAnsi="Arial Narrow" w:cs="Arial"/>
          <w:sz w:val="28"/>
          <w:szCs w:val="28"/>
        </w:rPr>
      </w:pPr>
    </w:p>
    <w:p w:rsidR="00D8621E" w:rsidRPr="00AA11E8" w:rsidRDefault="00D8621E" w:rsidP="008455FF">
      <w:pPr>
        <w:pStyle w:val="Textoindependiente"/>
        <w:rPr>
          <w:rFonts w:ascii="Arial Narrow" w:hAnsi="Arial Narrow" w:cs="Arial"/>
          <w:sz w:val="28"/>
          <w:szCs w:val="28"/>
        </w:rPr>
      </w:pPr>
    </w:p>
    <w:p w:rsidR="00D8621E" w:rsidRPr="00AA11E8" w:rsidRDefault="00D8621E" w:rsidP="008455FF">
      <w:pPr>
        <w:tabs>
          <w:tab w:val="left" w:pos="4820"/>
        </w:tabs>
        <w:jc w:val="center"/>
        <w:rPr>
          <w:rFonts w:ascii="Arial Narrow" w:eastAsia="Century Gothic" w:hAnsi="Arial Narrow" w:cs="Century Gothic"/>
          <w:sz w:val="28"/>
          <w:szCs w:val="28"/>
          <w:highlight w:val="white"/>
        </w:rPr>
      </w:pPr>
    </w:p>
    <w:p w:rsidR="00D8621E" w:rsidRPr="00AA11E8" w:rsidRDefault="006D59FF" w:rsidP="008455FF">
      <w:pPr>
        <w:tabs>
          <w:tab w:val="left" w:pos="4820"/>
        </w:tabs>
        <w:jc w:val="both"/>
        <w:rPr>
          <w:rFonts w:ascii="Arial Narrow" w:eastAsia="Century Gothic" w:hAnsi="Arial Narrow" w:cs="Century Gothic"/>
          <w:sz w:val="28"/>
          <w:szCs w:val="28"/>
          <w:highlight w:val="white"/>
        </w:rPr>
      </w:pPr>
      <w:r>
        <w:rPr>
          <w:rFonts w:ascii="Arial Narrow" w:eastAsia="Century Gothic" w:hAnsi="Arial Narrow" w:cs="Century Gothic"/>
          <w:b/>
          <w:sz w:val="28"/>
          <w:szCs w:val="28"/>
        </w:rPr>
        <w:t>JUAN CARLOS WILLS OSPINA</w:t>
      </w:r>
      <w:r w:rsidR="00D8621E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ab/>
      </w:r>
      <w:r w:rsidR="00714F62" w:rsidRPr="00AA11E8">
        <w:rPr>
          <w:rFonts w:ascii="Arial Narrow" w:eastAsia="Century Gothic" w:hAnsi="Arial Narrow" w:cs="Century Gothic"/>
          <w:b/>
          <w:sz w:val="28"/>
          <w:szCs w:val="28"/>
        </w:rPr>
        <w:t>JULIO CÉSAR TRIANA QUINTERO</w:t>
      </w:r>
    </w:p>
    <w:p w:rsidR="00D8621E" w:rsidRPr="00AA11E8" w:rsidRDefault="00D8621E" w:rsidP="008455FF">
      <w:pPr>
        <w:tabs>
          <w:tab w:val="left" w:pos="4820"/>
        </w:tabs>
        <w:jc w:val="both"/>
        <w:rPr>
          <w:rFonts w:ascii="Arial Narrow" w:eastAsia="Century Gothic" w:hAnsi="Arial Narrow" w:cs="Century Gothic"/>
          <w:sz w:val="28"/>
          <w:szCs w:val="28"/>
          <w:highlight w:val="white"/>
        </w:rPr>
      </w:pPr>
      <w:r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Ponente </w:t>
      </w:r>
      <w:r w:rsidR="00714F62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Coordinador</w:t>
      </w:r>
      <w:r w:rsidR="00714F62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ab/>
        <w:t>Presidente</w:t>
      </w:r>
    </w:p>
    <w:p w:rsidR="00D8621E" w:rsidRPr="00AA11E8" w:rsidRDefault="00D8621E" w:rsidP="00D8621E">
      <w:pPr>
        <w:spacing w:after="160" w:line="259" w:lineRule="auto"/>
        <w:jc w:val="center"/>
        <w:rPr>
          <w:rFonts w:ascii="Arial Narrow" w:eastAsia="Century Gothic" w:hAnsi="Arial Narrow" w:cs="Century Gothic"/>
          <w:sz w:val="28"/>
          <w:szCs w:val="28"/>
          <w:highlight w:val="white"/>
        </w:rPr>
      </w:pPr>
    </w:p>
    <w:p w:rsidR="00D8621E" w:rsidRPr="00AA11E8" w:rsidRDefault="00D8621E" w:rsidP="00D8621E">
      <w:pPr>
        <w:spacing w:after="160" w:line="259" w:lineRule="auto"/>
        <w:jc w:val="center"/>
        <w:rPr>
          <w:rFonts w:ascii="Arial Narrow" w:eastAsia="Century Gothic" w:hAnsi="Arial Narrow" w:cs="Century Gothic"/>
          <w:sz w:val="28"/>
          <w:szCs w:val="28"/>
          <w:highlight w:val="white"/>
        </w:rPr>
      </w:pPr>
    </w:p>
    <w:p w:rsidR="008D0B2B" w:rsidRPr="00AA11E8" w:rsidRDefault="008D0B2B" w:rsidP="006625C1">
      <w:pPr>
        <w:spacing w:after="160" w:line="259" w:lineRule="auto"/>
        <w:rPr>
          <w:rFonts w:ascii="Arial Narrow" w:eastAsia="Century Gothic" w:hAnsi="Arial Narrow" w:cs="Century Gothic"/>
          <w:sz w:val="28"/>
          <w:szCs w:val="28"/>
          <w:highlight w:val="white"/>
        </w:rPr>
      </w:pPr>
      <w:bookmarkStart w:id="1" w:name="_gjdgxs" w:colFirst="0" w:colLast="0"/>
      <w:bookmarkEnd w:id="1"/>
    </w:p>
    <w:p w:rsidR="008D0B2B" w:rsidRPr="00AA11E8" w:rsidRDefault="008455FF" w:rsidP="006625C1">
      <w:pPr>
        <w:tabs>
          <w:tab w:val="left" w:pos="4820"/>
        </w:tabs>
        <w:jc w:val="both"/>
        <w:rPr>
          <w:rFonts w:ascii="Arial Narrow" w:eastAsia="Century Gothic" w:hAnsi="Arial Narrow" w:cs="Century Gothic"/>
          <w:b/>
          <w:sz w:val="28"/>
          <w:szCs w:val="28"/>
          <w:highlight w:val="white"/>
        </w:rPr>
      </w:pPr>
      <w:r w:rsidRPr="00AA11E8">
        <w:rPr>
          <w:rFonts w:ascii="Arial Narrow" w:eastAsia="Century Gothic" w:hAnsi="Arial Narrow" w:cs="Century Gothic"/>
          <w:b/>
          <w:sz w:val="28"/>
          <w:szCs w:val="28"/>
        </w:rPr>
        <w:t xml:space="preserve">            </w:t>
      </w:r>
      <w:r w:rsidR="005A29C3" w:rsidRPr="00AA11E8">
        <w:rPr>
          <w:rFonts w:ascii="Arial Narrow" w:eastAsia="Century Gothic" w:hAnsi="Arial Narrow" w:cs="Century Gothic"/>
          <w:b/>
          <w:sz w:val="28"/>
          <w:szCs w:val="28"/>
        </w:rPr>
        <w:t xml:space="preserve">                      </w:t>
      </w:r>
      <w:r w:rsidR="00127274" w:rsidRPr="00AA11E8">
        <w:rPr>
          <w:rFonts w:ascii="Arial Narrow" w:eastAsia="Century Gothic" w:hAnsi="Arial Narrow" w:cs="Century Gothic"/>
          <w:b/>
          <w:sz w:val="28"/>
          <w:szCs w:val="28"/>
          <w:highlight w:val="white"/>
        </w:rPr>
        <w:t>AMPARO YANETH CALDERON PERDOMO</w:t>
      </w:r>
    </w:p>
    <w:p w:rsidR="008D0B2B" w:rsidRPr="00AA11E8" w:rsidRDefault="008455FF" w:rsidP="006625C1">
      <w:pPr>
        <w:tabs>
          <w:tab w:val="left" w:pos="4820"/>
        </w:tabs>
        <w:jc w:val="both"/>
        <w:rPr>
          <w:rFonts w:ascii="Arial Narrow" w:eastAsia="Century Gothic" w:hAnsi="Arial Narrow" w:cs="Century Gothic"/>
          <w:sz w:val="28"/>
          <w:szCs w:val="28"/>
          <w:highlight w:val="white"/>
        </w:rPr>
      </w:pPr>
      <w:r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 xml:space="preserve">                                                          </w:t>
      </w:r>
      <w:r w:rsidR="00127274" w:rsidRPr="00AA11E8">
        <w:rPr>
          <w:rFonts w:ascii="Arial Narrow" w:eastAsia="Century Gothic" w:hAnsi="Arial Narrow" w:cs="Century Gothic"/>
          <w:sz w:val="28"/>
          <w:szCs w:val="28"/>
          <w:highlight w:val="white"/>
        </w:rPr>
        <w:t>Secretaria</w:t>
      </w:r>
    </w:p>
    <w:sectPr w:rsidR="008D0B2B" w:rsidRPr="00AA1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418" w:left="1418" w:header="709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40" w:rsidRDefault="00C31240">
      <w:r>
        <w:separator/>
      </w:r>
    </w:p>
  </w:endnote>
  <w:endnote w:type="continuationSeparator" w:id="0">
    <w:p w:rsidR="00C31240" w:rsidRDefault="00C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78325"/>
      <w:docPartObj>
        <w:docPartGallery w:val="Page Numbers (Bottom of Page)"/>
        <w:docPartUnique/>
      </w:docPartObj>
    </w:sdtPr>
    <w:sdtEndPr/>
    <w:sdtContent>
      <w:p w:rsidR="006463DE" w:rsidRDefault="006463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05" w:rsidRPr="00350505">
          <w:rPr>
            <w:noProof/>
            <w:lang w:val="es-ES"/>
          </w:rPr>
          <w:t>2</w:t>
        </w:r>
        <w:r>
          <w:fldChar w:fldCharType="end"/>
        </w:r>
      </w:p>
    </w:sdtContent>
  </w:sdt>
  <w:p w:rsidR="008D0B2B" w:rsidRPr="00D8621E" w:rsidRDefault="008D0B2B">
    <w:pPr>
      <w:tabs>
        <w:tab w:val="center" w:pos="4419"/>
        <w:tab w:val="right" w:pos="8838"/>
      </w:tabs>
      <w:jc w:val="center"/>
      <w:rPr>
        <w:rFonts w:asciiTheme="majorHAnsi" w:eastAsia="Calibri" w:hAnsiTheme="majorHAnsi" w:cstheme="majorHAnsi"/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40" w:rsidRDefault="00C31240">
      <w:r>
        <w:separator/>
      </w:r>
    </w:p>
  </w:footnote>
  <w:footnote w:type="continuationSeparator" w:id="0">
    <w:p w:rsidR="00C31240" w:rsidRDefault="00C3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2B" w:rsidRDefault="001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22159" cy="611237"/>
          <wp:effectExtent l="0" t="0" r="0" b="0"/>
          <wp:docPr id="2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2159" cy="611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B2B" w:rsidRDefault="008D0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DE" w:rsidRDefault="006463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D2"/>
    <w:multiLevelType w:val="multilevel"/>
    <w:tmpl w:val="6CBAAD28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1AF3"/>
    <w:multiLevelType w:val="hybridMultilevel"/>
    <w:tmpl w:val="0A745726"/>
    <w:lvl w:ilvl="0" w:tplc="E2800722">
      <w:start w:val="1"/>
      <w:numFmt w:val="decimal"/>
      <w:lvlText w:val="%1."/>
      <w:lvlJc w:val="left"/>
      <w:pPr>
        <w:ind w:left="65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732F1AA">
      <w:numFmt w:val="bullet"/>
      <w:lvlText w:val="•"/>
      <w:lvlJc w:val="left"/>
      <w:pPr>
        <w:ind w:left="1528" w:hanging="269"/>
      </w:pPr>
      <w:rPr>
        <w:rFonts w:hint="default"/>
        <w:lang w:val="es-ES" w:eastAsia="en-US" w:bidi="ar-SA"/>
      </w:rPr>
    </w:lvl>
    <w:lvl w:ilvl="2" w:tplc="B4EEC6E4">
      <w:numFmt w:val="bullet"/>
      <w:lvlText w:val="•"/>
      <w:lvlJc w:val="left"/>
      <w:pPr>
        <w:ind w:left="2396" w:hanging="269"/>
      </w:pPr>
      <w:rPr>
        <w:rFonts w:hint="default"/>
        <w:lang w:val="es-ES" w:eastAsia="en-US" w:bidi="ar-SA"/>
      </w:rPr>
    </w:lvl>
    <w:lvl w:ilvl="3" w:tplc="B734D910">
      <w:numFmt w:val="bullet"/>
      <w:lvlText w:val="•"/>
      <w:lvlJc w:val="left"/>
      <w:pPr>
        <w:ind w:left="3264" w:hanging="269"/>
      </w:pPr>
      <w:rPr>
        <w:rFonts w:hint="default"/>
        <w:lang w:val="es-ES" w:eastAsia="en-US" w:bidi="ar-SA"/>
      </w:rPr>
    </w:lvl>
    <w:lvl w:ilvl="4" w:tplc="D376F494">
      <w:numFmt w:val="bullet"/>
      <w:lvlText w:val="•"/>
      <w:lvlJc w:val="left"/>
      <w:pPr>
        <w:ind w:left="4132" w:hanging="269"/>
      </w:pPr>
      <w:rPr>
        <w:rFonts w:hint="default"/>
        <w:lang w:val="es-ES" w:eastAsia="en-US" w:bidi="ar-SA"/>
      </w:rPr>
    </w:lvl>
    <w:lvl w:ilvl="5" w:tplc="9BE632C8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747E9F18">
      <w:numFmt w:val="bullet"/>
      <w:lvlText w:val="•"/>
      <w:lvlJc w:val="left"/>
      <w:pPr>
        <w:ind w:left="5868" w:hanging="269"/>
      </w:pPr>
      <w:rPr>
        <w:rFonts w:hint="default"/>
        <w:lang w:val="es-ES" w:eastAsia="en-US" w:bidi="ar-SA"/>
      </w:rPr>
    </w:lvl>
    <w:lvl w:ilvl="7" w:tplc="C93ED076">
      <w:numFmt w:val="bullet"/>
      <w:lvlText w:val="•"/>
      <w:lvlJc w:val="left"/>
      <w:pPr>
        <w:ind w:left="6736" w:hanging="269"/>
      </w:pPr>
      <w:rPr>
        <w:rFonts w:hint="default"/>
        <w:lang w:val="es-ES" w:eastAsia="en-US" w:bidi="ar-SA"/>
      </w:rPr>
    </w:lvl>
    <w:lvl w:ilvl="8" w:tplc="C8DC1C56">
      <w:numFmt w:val="bullet"/>
      <w:lvlText w:val="•"/>
      <w:lvlJc w:val="left"/>
      <w:pPr>
        <w:ind w:left="7604" w:hanging="269"/>
      </w:pPr>
      <w:rPr>
        <w:rFonts w:hint="default"/>
        <w:lang w:val="es-ES" w:eastAsia="en-US" w:bidi="ar-SA"/>
      </w:rPr>
    </w:lvl>
  </w:abstractNum>
  <w:abstractNum w:abstractNumId="2">
    <w:nsid w:val="43C11249"/>
    <w:multiLevelType w:val="multilevel"/>
    <w:tmpl w:val="3442434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8A08DF"/>
    <w:multiLevelType w:val="hybridMultilevel"/>
    <w:tmpl w:val="58DC5D88"/>
    <w:lvl w:ilvl="0" w:tplc="A92EF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9282D"/>
    <w:multiLevelType w:val="multilevel"/>
    <w:tmpl w:val="FBC6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B"/>
    <w:rsid w:val="00035569"/>
    <w:rsid w:val="000562C0"/>
    <w:rsid w:val="00111A48"/>
    <w:rsid w:val="00127274"/>
    <w:rsid w:val="001A63A3"/>
    <w:rsid w:val="001D3409"/>
    <w:rsid w:val="001E0CB5"/>
    <w:rsid w:val="002035CF"/>
    <w:rsid w:val="00213BEE"/>
    <w:rsid w:val="00224C88"/>
    <w:rsid w:val="00237951"/>
    <w:rsid w:val="00283BAE"/>
    <w:rsid w:val="002914E6"/>
    <w:rsid w:val="00350505"/>
    <w:rsid w:val="003A3963"/>
    <w:rsid w:val="004076F1"/>
    <w:rsid w:val="004328C1"/>
    <w:rsid w:val="004A71EF"/>
    <w:rsid w:val="005510C7"/>
    <w:rsid w:val="005A29C3"/>
    <w:rsid w:val="006463DE"/>
    <w:rsid w:val="006625C1"/>
    <w:rsid w:val="006D59FF"/>
    <w:rsid w:val="00711980"/>
    <w:rsid w:val="00714F62"/>
    <w:rsid w:val="00804DD0"/>
    <w:rsid w:val="00814643"/>
    <w:rsid w:val="008455FF"/>
    <w:rsid w:val="00860D79"/>
    <w:rsid w:val="008D0B2B"/>
    <w:rsid w:val="0092289D"/>
    <w:rsid w:val="00945281"/>
    <w:rsid w:val="009A01EB"/>
    <w:rsid w:val="00A101B0"/>
    <w:rsid w:val="00A261FF"/>
    <w:rsid w:val="00AA11E8"/>
    <w:rsid w:val="00B0271C"/>
    <w:rsid w:val="00B47FB2"/>
    <w:rsid w:val="00BC62AA"/>
    <w:rsid w:val="00BD27F5"/>
    <w:rsid w:val="00C31240"/>
    <w:rsid w:val="00C455AB"/>
    <w:rsid w:val="00C75B37"/>
    <w:rsid w:val="00C87A9C"/>
    <w:rsid w:val="00CB27CE"/>
    <w:rsid w:val="00CC76F7"/>
    <w:rsid w:val="00CE0261"/>
    <w:rsid w:val="00D44D19"/>
    <w:rsid w:val="00D8621E"/>
    <w:rsid w:val="00E64AC6"/>
    <w:rsid w:val="00E74856"/>
    <w:rsid w:val="00F03D4B"/>
    <w:rsid w:val="00FB17C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242CBC-F2DB-4C32-9B11-332EAE2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25C1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C1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34"/>
    <w:qFormat/>
    <w:rsid w:val="006625C1"/>
    <w:pPr>
      <w:widowControl w:val="0"/>
      <w:autoSpaceDE w:val="0"/>
      <w:autoSpaceDN w:val="0"/>
      <w:ind w:left="382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21E"/>
  </w:style>
  <w:style w:type="paragraph" w:styleId="Piedepgina">
    <w:name w:val="footer"/>
    <w:basedOn w:val="Normal"/>
    <w:link w:val="Piedepgina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1E"/>
  </w:style>
  <w:style w:type="paragraph" w:styleId="Textodeglobo">
    <w:name w:val="Balloon Text"/>
    <w:basedOn w:val="Normal"/>
    <w:link w:val="TextodegloboCar"/>
    <w:uiPriority w:val="99"/>
    <w:semiHidden/>
    <w:unhideWhenUsed/>
    <w:rsid w:val="00C45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Paola.Santos</dc:creator>
  <cp:lastModifiedBy>Dora Sonia Cortes Castillo</cp:lastModifiedBy>
  <cp:revision>6</cp:revision>
  <cp:lastPrinted>2021-10-28T19:15:00Z</cp:lastPrinted>
  <dcterms:created xsi:type="dcterms:W3CDTF">2021-11-09T20:10:00Z</dcterms:created>
  <dcterms:modified xsi:type="dcterms:W3CDTF">2021-11-09T20:21:00Z</dcterms:modified>
</cp:coreProperties>
</file>